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Montserrat" w:cs="Montserrat" w:eastAsia="Montserrat" w:hAnsi="Montserrat"/>
          <w:b w:val="1"/>
          <w:color w:val="2f2f2f"/>
          <w:sz w:val="21"/>
          <w:szCs w:val="21"/>
          <w:rtl w:val="0"/>
        </w:rPr>
        <w:t xml:space="preserve">Гендерна чутливість в ОГС</w:t>
      </w:r>
      <w:r w:rsidDel="00000000" w:rsidR="00000000" w:rsidRPr="00000000">
        <w:rPr>
          <w:b w:val="1"/>
          <w:sz w:val="24"/>
          <w:szCs w:val="24"/>
          <w:rtl w:val="0"/>
        </w:rPr>
        <w:t xml:space="preserve">»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Формат: </w:t>
      </w:r>
      <w:r w:rsidDel="00000000" w:rsidR="00000000" w:rsidRPr="00000000">
        <w:rPr>
          <w:sz w:val="24"/>
          <w:szCs w:val="24"/>
          <w:rtl w:val="0"/>
        </w:rPr>
        <w:t xml:space="preserve">Онлайн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Тривалість: </w:t>
      </w:r>
      <w:r w:rsidDel="00000000" w:rsidR="00000000" w:rsidRPr="00000000">
        <w:rPr>
          <w:sz w:val="24"/>
          <w:szCs w:val="24"/>
          <w:rtl w:val="0"/>
        </w:rPr>
        <w:t xml:space="preserve">до 4 години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Мета заходу: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Розвинути чутливість до теми гендерно зумовленого насильства серед команди, сформувати базові навички безпечної комунікації з постраждалими та надати алгоритми дій для належного реагування у межах повноважень організації.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Очікувані результати: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Після завершення тренінгу учасники/ці зможуть: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пояснити, що таке ГЗН у контексті прав людини та гендерної рівності;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розрізняти різні форми ГЗН та розуміти ситуації ризику;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використовувати принципи етичної взаємодії у випадках розкриття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насильства;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застосовувати базовий підхід до реагування та перенаправлення з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урахуванням добровільності, безпеки та поваги до постраждалих;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орієнтуватися у межах своєї ролі як неспеціаліста у сфері ГЗН, але як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відповідальної особи у громадській організації.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Програма заходу: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Частина 1: ГЗН як соціальне явище і виклик для громадських організацій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(50 хв)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Гендер і насильство: чому важливо говорити саме про ГЗН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Як працює насильство: цикл, влада, контроль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Український контекст: війна, вразливі групи, системні бар’єри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Робота ГО: коли ми можемо бути першими, до кого звертаються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Методи: </w:t>
      </w:r>
      <w:r w:rsidDel="00000000" w:rsidR="00000000" w:rsidRPr="00000000">
        <w:rPr>
          <w:sz w:val="24"/>
          <w:szCs w:val="24"/>
          <w:rtl w:val="0"/>
        </w:rPr>
        <w:t xml:space="preserve">інтерактивна презентація, коротке опитування, карта соціального впливу </w:t>
      </w:r>
      <w:r w:rsidDel="00000000" w:rsidR="00000000" w:rsidRPr="00000000">
        <w:rPr>
          <w:b w:val="1"/>
          <w:sz w:val="24"/>
          <w:szCs w:val="24"/>
          <w:rtl w:val="0"/>
        </w:rPr>
        <w:t xml:space="preserve">Частина 2: «Я не експерт(ка), але я чую». Ознаки ГЗН та емоційні сигнали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(45 хв)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Як розпізнати тривожні сигнали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Поведінкові, вербальні, невербальні ознаки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Що робити, коли особа ділиться досвідом насильства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Перша реакція — чому вона критично важлива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Перерва: 15 хв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Частина 3: «Моя позиція має значення»: принципи взаємодії з постраждалими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(55 хв)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Емпатія ≠ жалість: як уникнути вторинної травматизації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approach на практиці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Конфіденційність і добровільність: межі етичної відповідальності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Коли не можна мовчати: винятки з правил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Частина 4: Куди і як направити людину, яка пережила ГЗН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(55 хв)</w:t>
        <w:br w:type="textWrapping"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Перенаправлення як підтримка, а не делегування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Карта сервісів (приклади з локального контексту) 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Фінал: Питання – відповіді – рефлексія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(20 хв) 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Вартість заходу:</w:t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12 000 грн </w:t>
      </w:r>
      <w:r w:rsidDel="00000000" w:rsidR="00000000" w:rsidRPr="00000000">
        <w:rPr>
          <w:sz w:val="24"/>
          <w:szCs w:val="24"/>
          <w:rtl w:val="0"/>
        </w:rPr>
        <w:t xml:space="preserve">(включає підготовку адаптованої програми, проведення онлайн-сесії, роздаткові матеріали у PDF, карту сервісів, анкету оцінки) 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  <w:tab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